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3DB05" w14:textId="77777777" w:rsidR="00C15AF6" w:rsidRPr="00C15AF6" w:rsidRDefault="00C15AF6" w:rsidP="00C15AF6">
      <w:pPr>
        <w:rPr>
          <w:rFonts w:ascii="Calibri" w:hAnsi="Calibri" w:cs="Calibri"/>
          <w:b/>
          <w:bCs/>
          <w:sz w:val="28"/>
          <w:szCs w:val="28"/>
        </w:rPr>
      </w:pPr>
      <w:r w:rsidRPr="00C15AF6">
        <w:rPr>
          <w:rFonts w:ascii="Calibri" w:hAnsi="Calibri" w:cs="Calibri"/>
          <w:b/>
          <w:bCs/>
          <w:sz w:val="28"/>
          <w:szCs w:val="28"/>
        </w:rPr>
        <w:t>What Actually Helps Organisations Manage Risk to Collections Better?</w:t>
      </w:r>
    </w:p>
    <w:p w14:paraId="228630F9" w14:textId="77777777" w:rsidR="00C15AF6" w:rsidRPr="00C15AF6" w:rsidRDefault="00C15AF6" w:rsidP="00C15AF6">
      <w:pPr>
        <w:rPr>
          <w:rFonts w:ascii="Calibri" w:hAnsi="Calibri" w:cs="Calibri"/>
          <w:sz w:val="24"/>
          <w:szCs w:val="24"/>
        </w:rPr>
      </w:pPr>
      <w:r w:rsidRPr="00C15AF6">
        <w:rPr>
          <w:rFonts w:ascii="Calibri" w:hAnsi="Calibri" w:cs="Calibri"/>
          <w:sz w:val="24"/>
          <w:szCs w:val="24"/>
        </w:rPr>
        <w:t xml:space="preserve">One of the recurring questions in collections care is what </w:t>
      </w:r>
      <w:proofErr w:type="gramStart"/>
      <w:r w:rsidRPr="00C15AF6">
        <w:rPr>
          <w:rFonts w:ascii="Calibri" w:hAnsi="Calibri" w:cs="Calibri"/>
          <w:sz w:val="24"/>
          <w:szCs w:val="24"/>
        </w:rPr>
        <w:t>actually changes</w:t>
      </w:r>
      <w:proofErr w:type="gramEnd"/>
      <w:r w:rsidRPr="00C15AF6">
        <w:rPr>
          <w:rFonts w:ascii="Calibri" w:hAnsi="Calibri" w:cs="Calibri"/>
          <w:sz w:val="24"/>
          <w:szCs w:val="24"/>
        </w:rPr>
        <w:t xml:space="preserve"> organisational decision-making around risk in practice.</w:t>
      </w:r>
    </w:p>
    <w:p w14:paraId="1111985A" w14:textId="77777777" w:rsidR="00C15AF6" w:rsidRPr="00C15AF6" w:rsidRDefault="00C15AF6" w:rsidP="00C15AF6">
      <w:pPr>
        <w:rPr>
          <w:rFonts w:ascii="Calibri" w:hAnsi="Calibri" w:cs="Calibri"/>
          <w:sz w:val="24"/>
          <w:szCs w:val="24"/>
        </w:rPr>
      </w:pPr>
      <w:r w:rsidRPr="00C15AF6">
        <w:rPr>
          <w:rFonts w:ascii="Calibri" w:hAnsi="Calibri" w:cs="Calibri"/>
          <w:sz w:val="24"/>
          <w:szCs w:val="24"/>
        </w:rPr>
        <w:t>Not in theory, but within everyday operational environments where teams are balancing competing priorities, limited resources, ongoing projects, and continuous operational pressure.</w:t>
      </w:r>
    </w:p>
    <w:p w14:paraId="6B0E6AA4" w14:textId="77777777" w:rsidR="00C15AF6" w:rsidRPr="00C15AF6" w:rsidRDefault="00C15AF6" w:rsidP="00C15AF6">
      <w:pPr>
        <w:rPr>
          <w:rFonts w:ascii="Calibri" w:hAnsi="Calibri" w:cs="Calibri"/>
          <w:sz w:val="24"/>
          <w:szCs w:val="24"/>
        </w:rPr>
      </w:pPr>
      <w:r w:rsidRPr="00C15AF6">
        <w:rPr>
          <w:rFonts w:ascii="Calibri" w:hAnsi="Calibri" w:cs="Calibri"/>
          <w:sz w:val="24"/>
          <w:szCs w:val="24"/>
        </w:rPr>
        <w:t>From experience, it is rarely a single framework, policy, or technical tool that changes outcomes on its own.</w:t>
      </w:r>
    </w:p>
    <w:p w14:paraId="231E0D64" w14:textId="22031C08" w:rsidR="00C15AF6" w:rsidRPr="00C15AF6" w:rsidRDefault="00C15AF6" w:rsidP="00C15AF6">
      <w:pPr>
        <w:rPr>
          <w:rFonts w:ascii="Calibri" w:hAnsi="Calibri" w:cs="Calibri"/>
          <w:sz w:val="24"/>
          <w:szCs w:val="24"/>
        </w:rPr>
      </w:pPr>
      <w:r w:rsidRPr="00C15AF6">
        <w:rPr>
          <w:rFonts w:ascii="Calibri" w:hAnsi="Calibri" w:cs="Calibri"/>
          <w:sz w:val="24"/>
          <w:szCs w:val="24"/>
        </w:rPr>
        <w:t xml:space="preserve">What often makes the greatest difference is whether risks to collections become </w:t>
      </w:r>
      <w:r w:rsidR="0004024A">
        <w:rPr>
          <w:rFonts w:ascii="Calibri" w:hAnsi="Calibri" w:cs="Calibri"/>
          <w:sz w:val="24"/>
          <w:szCs w:val="24"/>
        </w:rPr>
        <w:t>v</w:t>
      </w:r>
      <w:r w:rsidRPr="00C15AF6">
        <w:rPr>
          <w:rFonts w:ascii="Calibri" w:hAnsi="Calibri" w:cs="Calibri"/>
          <w:sz w:val="24"/>
          <w:szCs w:val="24"/>
        </w:rPr>
        <w:t xml:space="preserve">isible </w:t>
      </w:r>
      <w:r w:rsidR="0004024A">
        <w:rPr>
          <w:rFonts w:ascii="Calibri" w:hAnsi="Calibri" w:cs="Calibri"/>
          <w:sz w:val="24"/>
          <w:szCs w:val="24"/>
        </w:rPr>
        <w:t xml:space="preserve">enough </w:t>
      </w:r>
      <w:r w:rsidRPr="00C15AF6">
        <w:rPr>
          <w:rFonts w:ascii="Calibri" w:hAnsi="Calibri" w:cs="Calibri"/>
          <w:sz w:val="24"/>
          <w:szCs w:val="24"/>
        </w:rPr>
        <w:t>within organisational decision-making.</w:t>
      </w:r>
    </w:p>
    <w:p w14:paraId="52F479E3" w14:textId="77777777" w:rsidR="00C15AF6" w:rsidRPr="00C15AF6" w:rsidRDefault="00C15AF6" w:rsidP="00C15AF6">
      <w:pPr>
        <w:rPr>
          <w:rFonts w:ascii="Calibri" w:hAnsi="Calibri" w:cs="Calibri"/>
          <w:sz w:val="24"/>
          <w:szCs w:val="24"/>
        </w:rPr>
      </w:pPr>
      <w:r w:rsidRPr="00C15AF6">
        <w:rPr>
          <w:rFonts w:ascii="Calibri" w:hAnsi="Calibri" w:cs="Calibri"/>
          <w:sz w:val="24"/>
          <w:szCs w:val="24"/>
        </w:rPr>
        <w:t>Several patterns appear repeatedly across heritage organisations.</w:t>
      </w:r>
    </w:p>
    <w:p w14:paraId="07F4DB06" w14:textId="77777777" w:rsidR="00C15AF6" w:rsidRPr="00C15AF6" w:rsidRDefault="00C15AF6" w:rsidP="00C15AF6">
      <w:pPr>
        <w:rPr>
          <w:rFonts w:ascii="Calibri" w:hAnsi="Calibri" w:cs="Calibri"/>
          <w:sz w:val="24"/>
          <w:szCs w:val="24"/>
        </w:rPr>
      </w:pPr>
      <w:r w:rsidRPr="00C15AF6">
        <w:rPr>
          <w:rFonts w:ascii="Calibri" w:hAnsi="Calibri" w:cs="Calibri"/>
          <w:sz w:val="24"/>
          <w:szCs w:val="24"/>
        </w:rPr>
        <w:t>One of the most important is comparative visibility of risk.</w:t>
      </w:r>
    </w:p>
    <w:p w14:paraId="57833BB0" w14:textId="77777777" w:rsidR="00C15AF6" w:rsidRPr="00C15AF6" w:rsidRDefault="00C15AF6" w:rsidP="00C15AF6">
      <w:pPr>
        <w:rPr>
          <w:rFonts w:ascii="Calibri" w:hAnsi="Calibri" w:cs="Calibri"/>
          <w:sz w:val="24"/>
          <w:szCs w:val="24"/>
        </w:rPr>
      </w:pPr>
      <w:r w:rsidRPr="00C15AF6">
        <w:rPr>
          <w:rFonts w:ascii="Calibri" w:hAnsi="Calibri" w:cs="Calibri"/>
          <w:sz w:val="24"/>
          <w:szCs w:val="24"/>
        </w:rPr>
        <w:t>Risks to collections become easier to manage when they are not considered in isolation, but compared alongside other risks affecting collections, operations, projects, or institutional priorities.</w:t>
      </w:r>
    </w:p>
    <w:p w14:paraId="6095A5DA" w14:textId="77777777" w:rsidR="00C15AF6" w:rsidRPr="00C15AF6" w:rsidRDefault="00C15AF6" w:rsidP="00C15AF6">
      <w:pPr>
        <w:rPr>
          <w:rFonts w:ascii="Calibri" w:hAnsi="Calibri" w:cs="Calibri"/>
          <w:sz w:val="24"/>
          <w:szCs w:val="24"/>
        </w:rPr>
      </w:pPr>
      <w:r w:rsidRPr="00C15AF6">
        <w:rPr>
          <w:rFonts w:ascii="Calibri" w:hAnsi="Calibri" w:cs="Calibri"/>
          <w:sz w:val="24"/>
          <w:szCs w:val="24"/>
        </w:rPr>
        <w:t>Once risks are compared directly, trade-offs become more visible.</w:t>
      </w:r>
    </w:p>
    <w:p w14:paraId="68089102" w14:textId="77777777" w:rsidR="00C15AF6" w:rsidRPr="00C15AF6" w:rsidRDefault="00C15AF6" w:rsidP="00C15AF6">
      <w:pPr>
        <w:rPr>
          <w:rFonts w:ascii="Calibri" w:hAnsi="Calibri" w:cs="Calibri"/>
          <w:sz w:val="24"/>
          <w:szCs w:val="24"/>
        </w:rPr>
      </w:pPr>
      <w:r w:rsidRPr="00C15AF6">
        <w:rPr>
          <w:rFonts w:ascii="Calibri" w:hAnsi="Calibri" w:cs="Calibri"/>
          <w:sz w:val="24"/>
          <w:szCs w:val="24"/>
        </w:rPr>
        <w:t>Some issues lose urgency.</w:t>
      </w:r>
      <w:r w:rsidRPr="00C15AF6">
        <w:rPr>
          <w:rFonts w:ascii="Calibri" w:hAnsi="Calibri" w:cs="Calibri"/>
          <w:sz w:val="24"/>
          <w:szCs w:val="24"/>
        </w:rPr>
        <w:br/>
        <w:t>Others become more difficult to ignore.</w:t>
      </w:r>
    </w:p>
    <w:p w14:paraId="2BAFDA63" w14:textId="0369BD58" w:rsidR="00C15AF6" w:rsidRPr="00C15AF6" w:rsidRDefault="00C15AF6" w:rsidP="00C15AF6">
      <w:pPr>
        <w:rPr>
          <w:rFonts w:ascii="Calibri" w:hAnsi="Calibri" w:cs="Calibri"/>
          <w:sz w:val="24"/>
          <w:szCs w:val="24"/>
        </w:rPr>
      </w:pPr>
      <w:r w:rsidRPr="00C15AF6">
        <w:rPr>
          <w:rFonts w:ascii="Calibri" w:hAnsi="Calibri" w:cs="Calibri"/>
          <w:sz w:val="24"/>
          <w:szCs w:val="24"/>
        </w:rPr>
        <w:t xml:space="preserve">This is important because many heritage organisations operate under conditions where everything can </w:t>
      </w:r>
      <w:r w:rsidR="00BF2D55">
        <w:rPr>
          <w:rFonts w:ascii="Calibri" w:hAnsi="Calibri" w:cs="Calibri"/>
          <w:sz w:val="24"/>
          <w:szCs w:val="24"/>
        </w:rPr>
        <w:t>start</w:t>
      </w:r>
      <w:r w:rsidRPr="00C15AF6">
        <w:rPr>
          <w:rFonts w:ascii="Calibri" w:hAnsi="Calibri" w:cs="Calibri"/>
          <w:sz w:val="24"/>
          <w:szCs w:val="24"/>
        </w:rPr>
        <w:t xml:space="preserve"> feeling urgent </w:t>
      </w:r>
      <w:r w:rsidR="00BF2D55">
        <w:rPr>
          <w:rFonts w:ascii="Calibri" w:hAnsi="Calibri" w:cs="Calibri"/>
          <w:sz w:val="24"/>
          <w:szCs w:val="24"/>
        </w:rPr>
        <w:t>at the same time</w:t>
      </w:r>
      <w:r w:rsidRPr="00C15AF6">
        <w:rPr>
          <w:rFonts w:ascii="Calibri" w:hAnsi="Calibri" w:cs="Calibri"/>
          <w:sz w:val="24"/>
          <w:szCs w:val="24"/>
        </w:rPr>
        <w:t>.</w:t>
      </w:r>
    </w:p>
    <w:p w14:paraId="1459C795" w14:textId="77777777" w:rsidR="00C15AF6" w:rsidRPr="00C15AF6" w:rsidRDefault="00C15AF6" w:rsidP="00C15AF6">
      <w:pPr>
        <w:rPr>
          <w:rFonts w:ascii="Calibri" w:hAnsi="Calibri" w:cs="Calibri"/>
          <w:sz w:val="24"/>
          <w:szCs w:val="24"/>
        </w:rPr>
      </w:pPr>
      <w:r w:rsidRPr="00C15AF6">
        <w:rPr>
          <w:rFonts w:ascii="Calibri" w:hAnsi="Calibri" w:cs="Calibri"/>
          <w:sz w:val="24"/>
          <w:szCs w:val="24"/>
        </w:rPr>
        <w:t>Without comparison and prioritisation, decision-making often becomes reactive.</w:t>
      </w:r>
    </w:p>
    <w:p w14:paraId="534A5AC5" w14:textId="77777777" w:rsidR="00C15AF6" w:rsidRPr="00C15AF6" w:rsidRDefault="00C15AF6" w:rsidP="00C15AF6">
      <w:pPr>
        <w:rPr>
          <w:rFonts w:ascii="Calibri" w:hAnsi="Calibri" w:cs="Calibri"/>
          <w:sz w:val="24"/>
          <w:szCs w:val="24"/>
        </w:rPr>
      </w:pPr>
      <w:r w:rsidRPr="00C15AF6">
        <w:rPr>
          <w:rFonts w:ascii="Calibri" w:hAnsi="Calibri" w:cs="Calibri"/>
          <w:sz w:val="24"/>
          <w:szCs w:val="24"/>
        </w:rPr>
        <w:t>Another important factor is escalation.</w:t>
      </w:r>
    </w:p>
    <w:p w14:paraId="668927E2" w14:textId="77777777" w:rsidR="00C15AF6" w:rsidRPr="00C15AF6" w:rsidRDefault="00C15AF6" w:rsidP="00C15AF6">
      <w:pPr>
        <w:rPr>
          <w:rFonts w:ascii="Calibri" w:hAnsi="Calibri" w:cs="Calibri"/>
          <w:sz w:val="24"/>
          <w:szCs w:val="24"/>
        </w:rPr>
      </w:pPr>
      <w:r w:rsidRPr="00C15AF6">
        <w:rPr>
          <w:rFonts w:ascii="Calibri" w:hAnsi="Calibri" w:cs="Calibri"/>
          <w:sz w:val="24"/>
          <w:szCs w:val="24"/>
        </w:rPr>
        <w:t xml:space="preserve">Not every </w:t>
      </w:r>
      <w:proofErr w:type="gramStart"/>
      <w:r w:rsidRPr="00C15AF6">
        <w:rPr>
          <w:rFonts w:ascii="Calibri" w:hAnsi="Calibri" w:cs="Calibri"/>
          <w:sz w:val="24"/>
          <w:szCs w:val="24"/>
        </w:rPr>
        <w:t>collections</w:t>
      </w:r>
      <w:proofErr w:type="gramEnd"/>
      <w:r w:rsidRPr="00C15AF6">
        <w:rPr>
          <w:rFonts w:ascii="Calibri" w:hAnsi="Calibri" w:cs="Calibri"/>
          <w:sz w:val="24"/>
          <w:szCs w:val="24"/>
        </w:rPr>
        <w:t xml:space="preserve"> issue requires senior leadership involvement.</w:t>
      </w:r>
      <w:r w:rsidRPr="00C15AF6">
        <w:rPr>
          <w:rFonts w:ascii="Calibri" w:hAnsi="Calibri" w:cs="Calibri"/>
          <w:sz w:val="24"/>
          <w:szCs w:val="24"/>
        </w:rPr>
        <w:br/>
        <w:t>But some do.</w:t>
      </w:r>
    </w:p>
    <w:p w14:paraId="36CBEDA8" w14:textId="77777777" w:rsidR="00C15AF6" w:rsidRPr="00C15AF6" w:rsidRDefault="00C15AF6" w:rsidP="00C15AF6">
      <w:pPr>
        <w:rPr>
          <w:rFonts w:ascii="Calibri" w:hAnsi="Calibri" w:cs="Calibri"/>
          <w:sz w:val="24"/>
          <w:szCs w:val="24"/>
        </w:rPr>
      </w:pPr>
      <w:r w:rsidRPr="00C15AF6">
        <w:rPr>
          <w:rFonts w:ascii="Calibri" w:hAnsi="Calibri" w:cs="Calibri"/>
          <w:sz w:val="24"/>
          <w:szCs w:val="24"/>
        </w:rPr>
        <w:t>Where escalation pathways remain unclear or ambiguous, decisions often begin to drift.</w:t>
      </w:r>
    </w:p>
    <w:p w14:paraId="13C43D58" w14:textId="77777777" w:rsidR="0030743B" w:rsidRDefault="00C15AF6" w:rsidP="0030743B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30743B">
        <w:rPr>
          <w:rFonts w:ascii="Calibri" w:hAnsi="Calibri" w:cs="Calibri"/>
          <w:sz w:val="24"/>
          <w:szCs w:val="24"/>
        </w:rPr>
        <w:t>Issues stay operational for too long.</w:t>
      </w:r>
    </w:p>
    <w:p w14:paraId="0388A635" w14:textId="77777777" w:rsidR="0030743B" w:rsidRDefault="00C15AF6" w:rsidP="0030743B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30743B">
        <w:rPr>
          <w:rFonts w:ascii="Calibri" w:hAnsi="Calibri" w:cs="Calibri"/>
          <w:sz w:val="24"/>
          <w:szCs w:val="24"/>
        </w:rPr>
        <w:t>Responsibility becomes blurred.</w:t>
      </w:r>
    </w:p>
    <w:p w14:paraId="486916BB" w14:textId="376D9F65" w:rsidR="00C15AF6" w:rsidRPr="0030743B" w:rsidRDefault="00C15AF6" w:rsidP="0030743B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30743B">
        <w:rPr>
          <w:rFonts w:ascii="Calibri" w:hAnsi="Calibri" w:cs="Calibri"/>
          <w:sz w:val="24"/>
          <w:szCs w:val="24"/>
        </w:rPr>
        <w:t>Teams continue adapting around unresolved risks rather than receiving clear organisational direction.</w:t>
      </w:r>
    </w:p>
    <w:p w14:paraId="0299CF77" w14:textId="77777777" w:rsidR="00C15AF6" w:rsidRPr="00C15AF6" w:rsidRDefault="00C15AF6" w:rsidP="00C15AF6">
      <w:pPr>
        <w:rPr>
          <w:rFonts w:ascii="Calibri" w:hAnsi="Calibri" w:cs="Calibri"/>
          <w:sz w:val="24"/>
          <w:szCs w:val="24"/>
        </w:rPr>
      </w:pPr>
      <w:r w:rsidRPr="00C15AF6">
        <w:rPr>
          <w:rFonts w:ascii="Calibri" w:hAnsi="Calibri" w:cs="Calibri"/>
          <w:sz w:val="24"/>
          <w:szCs w:val="24"/>
        </w:rPr>
        <w:t>Where escalation processes are clearer, decisions tend to move more effectively.</w:t>
      </w:r>
    </w:p>
    <w:p w14:paraId="61B8BF4D" w14:textId="77777777" w:rsidR="00C15AF6" w:rsidRPr="00C15AF6" w:rsidRDefault="00C15AF6" w:rsidP="00C15AF6">
      <w:pPr>
        <w:rPr>
          <w:rFonts w:ascii="Calibri" w:hAnsi="Calibri" w:cs="Calibri"/>
          <w:sz w:val="24"/>
          <w:szCs w:val="24"/>
        </w:rPr>
      </w:pPr>
      <w:r w:rsidRPr="00C15AF6">
        <w:rPr>
          <w:rFonts w:ascii="Calibri" w:hAnsi="Calibri" w:cs="Calibri"/>
          <w:sz w:val="24"/>
          <w:szCs w:val="24"/>
        </w:rPr>
        <w:t>The issue is not necessarily speed, but clarity around who needs to decide what, at what stage, and with what level of organisational responsibility.</w:t>
      </w:r>
    </w:p>
    <w:p w14:paraId="078FDA39" w14:textId="77777777" w:rsidR="00C15AF6" w:rsidRPr="00C15AF6" w:rsidRDefault="00C15AF6" w:rsidP="00C15AF6">
      <w:pPr>
        <w:rPr>
          <w:rFonts w:ascii="Calibri" w:hAnsi="Calibri" w:cs="Calibri"/>
          <w:sz w:val="24"/>
          <w:szCs w:val="24"/>
        </w:rPr>
      </w:pPr>
      <w:r w:rsidRPr="00C15AF6">
        <w:rPr>
          <w:rFonts w:ascii="Calibri" w:hAnsi="Calibri" w:cs="Calibri"/>
          <w:sz w:val="24"/>
          <w:szCs w:val="24"/>
        </w:rPr>
        <w:t>Language also shapes how risks become understood within organisations.</w:t>
      </w:r>
    </w:p>
    <w:p w14:paraId="34B380BE" w14:textId="77777777" w:rsidR="00C15AF6" w:rsidRPr="00C15AF6" w:rsidRDefault="00C15AF6" w:rsidP="00C15AF6">
      <w:pPr>
        <w:rPr>
          <w:rFonts w:ascii="Calibri" w:hAnsi="Calibri" w:cs="Calibri"/>
          <w:sz w:val="24"/>
          <w:szCs w:val="24"/>
        </w:rPr>
      </w:pPr>
      <w:r w:rsidRPr="00C15AF6">
        <w:rPr>
          <w:rFonts w:ascii="Calibri" w:hAnsi="Calibri" w:cs="Calibri"/>
          <w:sz w:val="24"/>
          <w:szCs w:val="24"/>
        </w:rPr>
        <w:lastRenderedPageBreak/>
        <w:t>In some environments, risks gradually become softened through familiar operational language:</w:t>
      </w:r>
    </w:p>
    <w:p w14:paraId="655ED02A" w14:textId="77777777" w:rsidR="00C15AF6" w:rsidRPr="00C15AF6" w:rsidRDefault="00C15AF6" w:rsidP="00C15AF6">
      <w:pPr>
        <w:rPr>
          <w:rFonts w:ascii="Calibri" w:hAnsi="Calibri" w:cs="Calibri"/>
          <w:sz w:val="24"/>
          <w:szCs w:val="24"/>
        </w:rPr>
      </w:pPr>
      <w:r w:rsidRPr="00C15AF6">
        <w:rPr>
          <w:rFonts w:ascii="Calibri" w:hAnsi="Calibri" w:cs="Calibri"/>
          <w:sz w:val="24"/>
          <w:szCs w:val="24"/>
        </w:rPr>
        <w:t>“We have been doing it this way for years.”</w:t>
      </w:r>
      <w:r w:rsidRPr="00C15AF6">
        <w:rPr>
          <w:rFonts w:ascii="Calibri" w:hAnsi="Calibri" w:cs="Calibri"/>
          <w:sz w:val="24"/>
          <w:szCs w:val="24"/>
        </w:rPr>
        <w:br/>
        <w:t>“Nothing has happened so far.”</w:t>
      </w:r>
      <w:r w:rsidRPr="00C15AF6">
        <w:rPr>
          <w:rFonts w:ascii="Calibri" w:hAnsi="Calibri" w:cs="Calibri"/>
          <w:sz w:val="24"/>
          <w:szCs w:val="24"/>
        </w:rPr>
        <w:br/>
        <w:t>“We will keep an eye on it. It should be fine.”</w:t>
      </w:r>
    </w:p>
    <w:p w14:paraId="0164BE9E" w14:textId="77777777" w:rsidR="00C15AF6" w:rsidRPr="00C15AF6" w:rsidRDefault="00C15AF6" w:rsidP="00C15AF6">
      <w:pPr>
        <w:rPr>
          <w:rFonts w:ascii="Calibri" w:hAnsi="Calibri" w:cs="Calibri"/>
          <w:sz w:val="24"/>
          <w:szCs w:val="24"/>
        </w:rPr>
      </w:pPr>
      <w:r w:rsidRPr="00C15AF6">
        <w:rPr>
          <w:rFonts w:ascii="Calibri" w:hAnsi="Calibri" w:cs="Calibri"/>
          <w:sz w:val="24"/>
          <w:szCs w:val="24"/>
        </w:rPr>
        <w:t>In other organisations, risks are framed more explicitly:</w:t>
      </w:r>
    </w:p>
    <w:p w14:paraId="10F16155" w14:textId="77777777" w:rsidR="00C15AF6" w:rsidRPr="00C15AF6" w:rsidRDefault="00C15AF6" w:rsidP="00C15AF6">
      <w:pPr>
        <w:rPr>
          <w:rFonts w:ascii="Calibri" w:hAnsi="Calibri" w:cs="Calibri"/>
          <w:sz w:val="24"/>
          <w:szCs w:val="24"/>
        </w:rPr>
      </w:pPr>
      <w:r w:rsidRPr="00C15AF6">
        <w:rPr>
          <w:rFonts w:ascii="Calibri" w:hAnsi="Calibri" w:cs="Calibri"/>
          <w:sz w:val="24"/>
          <w:szCs w:val="24"/>
        </w:rPr>
        <w:t>“This increases our collections risk exposure.”</w:t>
      </w:r>
      <w:r w:rsidRPr="00C15AF6">
        <w:rPr>
          <w:rFonts w:ascii="Calibri" w:hAnsi="Calibri" w:cs="Calibri"/>
          <w:sz w:val="24"/>
          <w:szCs w:val="24"/>
        </w:rPr>
        <w:br/>
        <w:t>“We need to decide whether we are prepared to accept this risk long-term.”</w:t>
      </w:r>
      <w:r w:rsidRPr="00C15AF6">
        <w:rPr>
          <w:rFonts w:ascii="Calibri" w:hAnsi="Calibri" w:cs="Calibri"/>
          <w:sz w:val="24"/>
          <w:szCs w:val="24"/>
        </w:rPr>
        <w:br/>
        <w:t>“This may exceed our current operational capacity.”</w:t>
      </w:r>
    </w:p>
    <w:p w14:paraId="172FBA9F" w14:textId="77777777" w:rsidR="00C15AF6" w:rsidRPr="00C15AF6" w:rsidRDefault="00C15AF6" w:rsidP="00C15AF6">
      <w:pPr>
        <w:rPr>
          <w:rFonts w:ascii="Calibri" w:hAnsi="Calibri" w:cs="Calibri"/>
          <w:sz w:val="24"/>
          <w:szCs w:val="24"/>
        </w:rPr>
      </w:pPr>
      <w:r w:rsidRPr="00C15AF6">
        <w:rPr>
          <w:rFonts w:ascii="Calibri" w:hAnsi="Calibri" w:cs="Calibri"/>
          <w:sz w:val="24"/>
          <w:szCs w:val="24"/>
        </w:rPr>
        <w:t>The distinction is subtle, but important.</w:t>
      </w:r>
    </w:p>
    <w:p w14:paraId="1D172258" w14:textId="77777777" w:rsidR="00C15AF6" w:rsidRPr="00C15AF6" w:rsidRDefault="00C15AF6" w:rsidP="00C15AF6">
      <w:pPr>
        <w:rPr>
          <w:rFonts w:ascii="Calibri" w:hAnsi="Calibri" w:cs="Calibri"/>
          <w:sz w:val="24"/>
          <w:szCs w:val="24"/>
        </w:rPr>
      </w:pPr>
      <w:r w:rsidRPr="00C15AF6">
        <w:rPr>
          <w:rFonts w:ascii="Calibri" w:hAnsi="Calibri" w:cs="Calibri"/>
          <w:sz w:val="24"/>
          <w:szCs w:val="24"/>
        </w:rPr>
        <w:t>Because language influences whether risks remain background operational concerns or become visible organisational decisions requiring attention.</w:t>
      </w:r>
    </w:p>
    <w:p w14:paraId="1B8D4B1F" w14:textId="77777777" w:rsidR="00C15AF6" w:rsidRPr="00C15AF6" w:rsidRDefault="00C15AF6" w:rsidP="00C15AF6">
      <w:pPr>
        <w:rPr>
          <w:rFonts w:ascii="Calibri" w:hAnsi="Calibri" w:cs="Calibri"/>
          <w:sz w:val="24"/>
          <w:szCs w:val="24"/>
        </w:rPr>
      </w:pPr>
      <w:r w:rsidRPr="00C15AF6">
        <w:rPr>
          <w:rFonts w:ascii="Calibri" w:hAnsi="Calibri" w:cs="Calibri"/>
          <w:sz w:val="24"/>
          <w:szCs w:val="24"/>
        </w:rPr>
        <w:t>Workload and operational pressure also play a significant role.</w:t>
      </w:r>
    </w:p>
    <w:p w14:paraId="1687A87D" w14:textId="77777777" w:rsidR="00C15AF6" w:rsidRPr="00C15AF6" w:rsidRDefault="00C15AF6" w:rsidP="00C15AF6">
      <w:pPr>
        <w:rPr>
          <w:rFonts w:ascii="Calibri" w:hAnsi="Calibri" w:cs="Calibri"/>
          <w:sz w:val="24"/>
          <w:szCs w:val="24"/>
        </w:rPr>
      </w:pPr>
      <w:r w:rsidRPr="00C15AF6">
        <w:rPr>
          <w:rFonts w:ascii="Calibri" w:hAnsi="Calibri" w:cs="Calibri"/>
          <w:sz w:val="24"/>
          <w:szCs w:val="24"/>
        </w:rPr>
        <w:t>Where teams operate in continual reactive response to immediate demands, risks to collections often remain partially invisible within wider organisational thinking.</w:t>
      </w:r>
    </w:p>
    <w:p w14:paraId="6D57726D" w14:textId="77777777" w:rsidR="00C15AF6" w:rsidRPr="00C15AF6" w:rsidRDefault="00C15AF6" w:rsidP="00C15AF6">
      <w:pPr>
        <w:rPr>
          <w:rFonts w:ascii="Calibri" w:hAnsi="Calibri" w:cs="Calibri"/>
          <w:sz w:val="24"/>
          <w:szCs w:val="24"/>
        </w:rPr>
      </w:pPr>
      <w:r w:rsidRPr="00C15AF6">
        <w:rPr>
          <w:rFonts w:ascii="Calibri" w:hAnsi="Calibri" w:cs="Calibri"/>
          <w:sz w:val="24"/>
          <w:szCs w:val="24"/>
        </w:rPr>
        <w:t>Under sustained operational pressure, there is limited time to step back, compare risks, reflect strategically, or identify emerging patterns across the institution.</w:t>
      </w:r>
    </w:p>
    <w:p w14:paraId="4ECDABD5" w14:textId="77777777" w:rsidR="00C15AF6" w:rsidRPr="00C15AF6" w:rsidRDefault="00C15AF6" w:rsidP="00C15AF6">
      <w:pPr>
        <w:rPr>
          <w:rFonts w:ascii="Calibri" w:hAnsi="Calibri" w:cs="Calibri"/>
          <w:sz w:val="24"/>
          <w:szCs w:val="24"/>
        </w:rPr>
      </w:pPr>
      <w:r w:rsidRPr="00C15AF6">
        <w:rPr>
          <w:rFonts w:ascii="Calibri" w:hAnsi="Calibri" w:cs="Calibri"/>
          <w:sz w:val="24"/>
          <w:szCs w:val="24"/>
        </w:rPr>
        <w:t>Where organisations create even small amounts of space for broader reflection and prioritisation, risks often become easier to identify before they escalate further.</w:t>
      </w:r>
    </w:p>
    <w:p w14:paraId="4345DFB9" w14:textId="77777777" w:rsidR="00C15AF6" w:rsidRPr="00C15AF6" w:rsidRDefault="00C15AF6" w:rsidP="00C15AF6">
      <w:pPr>
        <w:rPr>
          <w:rFonts w:ascii="Calibri" w:hAnsi="Calibri" w:cs="Calibri"/>
          <w:sz w:val="24"/>
          <w:szCs w:val="24"/>
        </w:rPr>
      </w:pPr>
      <w:r w:rsidRPr="00C15AF6">
        <w:rPr>
          <w:rFonts w:ascii="Calibri" w:hAnsi="Calibri" w:cs="Calibri"/>
          <w:sz w:val="24"/>
          <w:szCs w:val="24"/>
        </w:rPr>
        <w:t>None of these practices are especially complex.</w:t>
      </w:r>
    </w:p>
    <w:p w14:paraId="6AA491C6" w14:textId="77777777" w:rsidR="00C15AF6" w:rsidRPr="00C15AF6" w:rsidRDefault="00C15AF6" w:rsidP="00C15AF6">
      <w:pPr>
        <w:rPr>
          <w:rFonts w:ascii="Calibri" w:hAnsi="Calibri" w:cs="Calibri"/>
          <w:sz w:val="24"/>
          <w:szCs w:val="24"/>
        </w:rPr>
      </w:pPr>
      <w:r w:rsidRPr="00C15AF6">
        <w:rPr>
          <w:rFonts w:ascii="Calibri" w:hAnsi="Calibri" w:cs="Calibri"/>
          <w:sz w:val="24"/>
          <w:szCs w:val="24"/>
        </w:rPr>
        <w:t>However, they do require deliberate organisational attention.</w:t>
      </w:r>
    </w:p>
    <w:p w14:paraId="46794367" w14:textId="77777777" w:rsidR="00C15AF6" w:rsidRPr="00C15AF6" w:rsidRDefault="00C15AF6" w:rsidP="00C15AF6">
      <w:pPr>
        <w:rPr>
          <w:rFonts w:ascii="Calibri" w:hAnsi="Calibri" w:cs="Calibri"/>
          <w:sz w:val="24"/>
          <w:szCs w:val="24"/>
        </w:rPr>
      </w:pPr>
      <w:r w:rsidRPr="00C15AF6">
        <w:rPr>
          <w:rFonts w:ascii="Calibri" w:hAnsi="Calibri" w:cs="Calibri"/>
          <w:sz w:val="24"/>
          <w:szCs w:val="24"/>
        </w:rPr>
        <w:t>In my experience, heritage organisations rarely struggle with collections care because they lack technical expertise or professional commitment.</w:t>
      </w:r>
    </w:p>
    <w:p w14:paraId="351BA487" w14:textId="52BF8016" w:rsidR="00C15AF6" w:rsidRPr="00C15AF6" w:rsidRDefault="00C15AF6" w:rsidP="00C15AF6">
      <w:pPr>
        <w:rPr>
          <w:rFonts w:ascii="Calibri" w:hAnsi="Calibri" w:cs="Calibri"/>
          <w:sz w:val="24"/>
          <w:szCs w:val="24"/>
        </w:rPr>
      </w:pPr>
      <w:r w:rsidRPr="00C15AF6">
        <w:rPr>
          <w:rFonts w:ascii="Calibri" w:hAnsi="Calibri" w:cs="Calibri"/>
          <w:sz w:val="24"/>
          <w:szCs w:val="24"/>
        </w:rPr>
        <w:t>More often, difficulties emerge when risks to collections are not made visible within organisational decision-making early enough for realistic prioritisation, escalation, and action to occur.</w:t>
      </w:r>
    </w:p>
    <w:p w14:paraId="676253D0" w14:textId="77777777" w:rsidR="00F3793A" w:rsidRDefault="00F3793A" w:rsidP="00F3793A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Andor Vince</w:t>
      </w:r>
    </w:p>
    <w:p w14:paraId="42364BCC" w14:textId="77777777" w:rsidR="00F3793A" w:rsidRDefault="00F3793A" w:rsidP="00F3793A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Collections Care Advisor and</w:t>
      </w:r>
    </w:p>
    <w:p w14:paraId="3806A6E7" w14:textId="77777777" w:rsidR="00F3793A" w:rsidRDefault="00F3793A" w:rsidP="00F3793A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Positive Organisational Psychology Practitioner</w:t>
      </w:r>
    </w:p>
    <w:p w14:paraId="723DC4EE" w14:textId="77777777" w:rsidR="00F3793A" w:rsidRDefault="00F3793A" w:rsidP="00F3793A">
      <w:pPr>
        <w:spacing w:after="0"/>
        <w:rPr>
          <w:rFonts w:ascii="Calibri" w:hAnsi="Calibri" w:cs="Calibri"/>
          <w:sz w:val="24"/>
          <w:szCs w:val="24"/>
        </w:rPr>
      </w:pPr>
    </w:p>
    <w:p w14:paraId="46B8D692" w14:textId="5A89CBB4" w:rsidR="00F3793A" w:rsidRPr="005F5F16" w:rsidRDefault="00F3793A" w:rsidP="00F3793A">
      <w:pPr>
        <w:spacing w:after="0"/>
        <w:rPr>
          <w:rFonts w:ascii="Calibri" w:hAnsi="Calibri" w:cs="Calibri"/>
          <w:sz w:val="24"/>
          <w:szCs w:val="24"/>
        </w:rPr>
      </w:pPr>
      <w:r w:rsidRPr="00490E19">
        <w:rPr>
          <w:rFonts w:ascii="Calibri" w:hAnsi="Calibri" w:cs="Calibri"/>
          <w:b/>
          <w:bCs/>
          <w:sz w:val="24"/>
          <w:szCs w:val="24"/>
        </w:rPr>
        <w:t>Date:</w:t>
      </w:r>
      <w:r>
        <w:rPr>
          <w:rFonts w:ascii="Calibri" w:hAnsi="Calibri" w:cs="Calibri"/>
          <w:sz w:val="24"/>
          <w:szCs w:val="24"/>
        </w:rPr>
        <w:t xml:space="preserve"> 2</w:t>
      </w:r>
      <w:r w:rsidR="001F65F2">
        <w:rPr>
          <w:rFonts w:ascii="Calibri" w:hAnsi="Calibri" w:cs="Calibri"/>
          <w:sz w:val="24"/>
          <w:szCs w:val="24"/>
        </w:rPr>
        <w:t>2</w:t>
      </w:r>
      <w:r w:rsidR="001F65F2" w:rsidRPr="001F65F2">
        <w:rPr>
          <w:rFonts w:ascii="Calibri" w:hAnsi="Calibri" w:cs="Calibri"/>
          <w:sz w:val="24"/>
          <w:szCs w:val="24"/>
          <w:vertAlign w:val="superscript"/>
        </w:rPr>
        <w:t>nd</w:t>
      </w:r>
      <w:r w:rsidR="001F65F2">
        <w:rPr>
          <w:rFonts w:ascii="Calibri" w:hAnsi="Calibri" w:cs="Calibri"/>
          <w:sz w:val="24"/>
          <w:szCs w:val="24"/>
        </w:rPr>
        <w:t xml:space="preserve"> April</w:t>
      </w:r>
      <w:r>
        <w:rPr>
          <w:rFonts w:ascii="Calibri" w:hAnsi="Calibri" w:cs="Calibri"/>
          <w:sz w:val="24"/>
          <w:szCs w:val="24"/>
        </w:rPr>
        <w:t xml:space="preserve"> 2026</w:t>
      </w:r>
    </w:p>
    <w:p w14:paraId="3C0C7F79" w14:textId="77777777" w:rsidR="00F3793A" w:rsidRPr="005F5F16" w:rsidRDefault="00F3793A" w:rsidP="00F3793A">
      <w:pPr>
        <w:rPr>
          <w:rFonts w:ascii="Calibri" w:hAnsi="Calibri" w:cs="Calibri"/>
          <w:sz w:val="24"/>
          <w:szCs w:val="24"/>
        </w:rPr>
      </w:pPr>
    </w:p>
    <w:p w14:paraId="2238C8F8" w14:textId="77777777" w:rsidR="00A16C0D" w:rsidRPr="00C15AF6" w:rsidRDefault="00A16C0D">
      <w:pPr>
        <w:rPr>
          <w:rFonts w:ascii="Calibri" w:hAnsi="Calibri" w:cs="Calibri"/>
          <w:sz w:val="24"/>
          <w:szCs w:val="24"/>
        </w:rPr>
      </w:pPr>
    </w:p>
    <w:sectPr w:rsidR="00A16C0D" w:rsidRPr="00C15A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1C6D91"/>
    <w:multiLevelType w:val="hybridMultilevel"/>
    <w:tmpl w:val="272898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6095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710"/>
    <w:rsid w:val="0004024A"/>
    <w:rsid w:val="001F65F2"/>
    <w:rsid w:val="0030743B"/>
    <w:rsid w:val="00340479"/>
    <w:rsid w:val="003F4E86"/>
    <w:rsid w:val="00517B00"/>
    <w:rsid w:val="00684EA2"/>
    <w:rsid w:val="00693108"/>
    <w:rsid w:val="00816710"/>
    <w:rsid w:val="00A16C0D"/>
    <w:rsid w:val="00BF2D55"/>
    <w:rsid w:val="00C15AF6"/>
    <w:rsid w:val="00D179BE"/>
    <w:rsid w:val="00F3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09D55"/>
  <w15:chartTrackingRefBased/>
  <w15:docId w15:val="{6789983A-B17B-49AB-8F3B-A14087EB2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67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67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67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67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67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67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67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67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67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67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67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67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67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67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67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67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67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67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67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67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67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67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67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67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67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67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67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67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67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561</Words>
  <Characters>3181</Characters>
  <Application>Microsoft Office Word</Application>
  <DocSecurity>0</DocSecurity>
  <Lines>93</Lines>
  <Paragraphs>64</Paragraphs>
  <ScaleCrop>false</ScaleCrop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Andor Vince</dc:creator>
  <cp:keywords/>
  <dc:description/>
  <cp:lastModifiedBy>Andor Vince</cp:lastModifiedBy>
  <cp:revision>8</cp:revision>
  <dcterms:created xsi:type="dcterms:W3CDTF">2026-05-25T00:12:00Z</dcterms:created>
  <dcterms:modified xsi:type="dcterms:W3CDTF">2026-05-25T00:19:00Z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c0e03b95-fab1-4d1e-bc0f-0da89340ada2</vt:lpwstr>
  </property>
</Properties>
</file>